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2859" w14:textId="77777777" w:rsidR="00844616" w:rsidRDefault="00000000">
      <w:pPr>
        <w:pStyle w:val="Overskrift1"/>
      </w:pPr>
      <w:r>
        <w:t>Oversikt over faresymboler (piktogrammer)</w:t>
      </w:r>
    </w:p>
    <w:p w14:paraId="515FD910" w14:textId="77777777" w:rsidR="00844616" w:rsidRDefault="00000000">
      <w:r>
        <w:t>Denne oversikten viser de vanligste faresymbolene (piktogrammene) som brukes i byggfag. De følger EUs CLP-regelverk og skal være godt synlige på produkter som kan være helseskadelige, miljøskadelige, brannfarlige eller eksplosive.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6"/>
        <w:gridCol w:w="1988"/>
        <w:gridCol w:w="2006"/>
        <w:gridCol w:w="2120"/>
      </w:tblGrid>
      <w:tr w:rsidR="00844616" w14:paraId="0CC03068" w14:textId="77777777">
        <w:tc>
          <w:tcPr>
            <w:tcW w:w="2160" w:type="dxa"/>
          </w:tcPr>
          <w:p w14:paraId="65172908" w14:textId="77777777" w:rsidR="00844616" w:rsidRDefault="00000000">
            <w:r>
              <w:t>Piktogram</w:t>
            </w:r>
          </w:p>
        </w:tc>
        <w:tc>
          <w:tcPr>
            <w:tcW w:w="2160" w:type="dxa"/>
          </w:tcPr>
          <w:p w14:paraId="448DF92A" w14:textId="77777777" w:rsidR="00844616" w:rsidRDefault="00000000">
            <w:r>
              <w:t>Navn</w:t>
            </w:r>
          </w:p>
        </w:tc>
        <w:tc>
          <w:tcPr>
            <w:tcW w:w="2160" w:type="dxa"/>
          </w:tcPr>
          <w:p w14:paraId="159C9142" w14:textId="77777777" w:rsidR="00844616" w:rsidRDefault="00000000">
            <w:r>
              <w:t>Betydning</w:t>
            </w:r>
          </w:p>
        </w:tc>
        <w:tc>
          <w:tcPr>
            <w:tcW w:w="2160" w:type="dxa"/>
          </w:tcPr>
          <w:p w14:paraId="327D5204" w14:textId="77777777" w:rsidR="00844616" w:rsidRDefault="00000000">
            <w:r>
              <w:t>Eksempel i byggfag</w:t>
            </w:r>
          </w:p>
        </w:tc>
      </w:tr>
      <w:tr w:rsidR="00844616" w14:paraId="679CD387" w14:textId="77777777">
        <w:tc>
          <w:tcPr>
            <w:tcW w:w="2160" w:type="dxa"/>
          </w:tcPr>
          <w:p w14:paraId="440DCE29" w14:textId="73A140B8" w:rsidR="00844616" w:rsidRDefault="00AC6509">
            <w:r w:rsidRPr="00AC6509">
              <w:drawing>
                <wp:inline distT="0" distB="0" distL="0" distR="0" wp14:anchorId="0C3CDA3E" wp14:editId="158D38B2">
                  <wp:extent cx="977950" cy="901746"/>
                  <wp:effectExtent l="0" t="0" r="0" b="0"/>
                  <wp:docPr id="141742465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42465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50" cy="901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60AAE691" w14:textId="77777777" w:rsidR="00844616" w:rsidRDefault="00000000">
            <w:r>
              <w:t>Helsefare (akutt)</w:t>
            </w:r>
          </w:p>
        </w:tc>
        <w:tc>
          <w:tcPr>
            <w:tcW w:w="2160" w:type="dxa"/>
          </w:tcPr>
          <w:p w14:paraId="175C2331" w14:textId="77777777" w:rsidR="00844616" w:rsidRDefault="00000000">
            <w:r>
              <w:t>Kan gi hudirritasjon, øyeirritasjon, svimmelhet eller allergiske reaksjoner.</w:t>
            </w:r>
          </w:p>
        </w:tc>
        <w:tc>
          <w:tcPr>
            <w:tcW w:w="2160" w:type="dxa"/>
          </w:tcPr>
          <w:p w14:paraId="44BED276" w14:textId="77777777" w:rsidR="00844616" w:rsidRDefault="00000000">
            <w:r>
              <w:t>Lim, lakk, rengjøringsmidler</w:t>
            </w:r>
          </w:p>
        </w:tc>
      </w:tr>
      <w:tr w:rsidR="00844616" w14:paraId="3CB5B26A" w14:textId="77777777">
        <w:tc>
          <w:tcPr>
            <w:tcW w:w="2160" w:type="dxa"/>
          </w:tcPr>
          <w:p w14:paraId="066BDA02" w14:textId="4E4465CE" w:rsidR="00844616" w:rsidRDefault="00656E51">
            <w:r w:rsidRPr="00656E51">
              <w:drawing>
                <wp:inline distT="0" distB="0" distL="0" distR="0" wp14:anchorId="31026422" wp14:editId="43C82D17">
                  <wp:extent cx="857294" cy="882695"/>
                  <wp:effectExtent l="0" t="0" r="0" b="0"/>
                  <wp:docPr id="23558004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8004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94" cy="88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72972AC8" w14:textId="77777777" w:rsidR="00844616" w:rsidRDefault="00000000">
            <w:r>
              <w:t>Brannfarlig</w:t>
            </w:r>
          </w:p>
        </w:tc>
        <w:tc>
          <w:tcPr>
            <w:tcW w:w="2160" w:type="dxa"/>
          </w:tcPr>
          <w:p w14:paraId="2C51335E" w14:textId="77777777" w:rsidR="00844616" w:rsidRDefault="00000000">
            <w:r>
              <w:t>Væske, gass eller fast stoff som lett tar fyr.</w:t>
            </w:r>
          </w:p>
        </w:tc>
        <w:tc>
          <w:tcPr>
            <w:tcW w:w="2160" w:type="dxa"/>
          </w:tcPr>
          <w:p w14:paraId="422C689A" w14:textId="77777777" w:rsidR="00844616" w:rsidRDefault="00000000">
            <w:r>
              <w:t>Lakk, tynner, spraybokser</w:t>
            </w:r>
          </w:p>
        </w:tc>
      </w:tr>
      <w:tr w:rsidR="00844616" w14:paraId="60B9194C" w14:textId="77777777">
        <w:tc>
          <w:tcPr>
            <w:tcW w:w="2160" w:type="dxa"/>
          </w:tcPr>
          <w:p w14:paraId="218A5783" w14:textId="6A37543E" w:rsidR="00844616" w:rsidRDefault="00AE27C9">
            <w:r w:rsidRPr="00AE27C9">
              <w:drawing>
                <wp:inline distT="0" distB="0" distL="0" distR="0" wp14:anchorId="67A7CA9A" wp14:editId="2B146E5B">
                  <wp:extent cx="997001" cy="806491"/>
                  <wp:effectExtent l="0" t="0" r="0" b="0"/>
                  <wp:docPr id="206746846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46846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001" cy="80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534C0F9C" w14:textId="77777777" w:rsidR="00844616" w:rsidRDefault="00000000">
            <w:r>
              <w:t>Oksiderende</w:t>
            </w:r>
          </w:p>
        </w:tc>
        <w:tc>
          <w:tcPr>
            <w:tcW w:w="2160" w:type="dxa"/>
          </w:tcPr>
          <w:p w14:paraId="27FFB767" w14:textId="77777777" w:rsidR="00844616" w:rsidRDefault="00000000">
            <w:r>
              <w:t>Kan forårsake eller forsterke brann.</w:t>
            </w:r>
          </w:p>
        </w:tc>
        <w:tc>
          <w:tcPr>
            <w:tcW w:w="2160" w:type="dxa"/>
          </w:tcPr>
          <w:p w14:paraId="182BBB32" w14:textId="77777777" w:rsidR="00844616" w:rsidRDefault="00000000">
            <w:r>
              <w:t>Sterke rengjøringsmidler, enkelte kjemikalier</w:t>
            </w:r>
          </w:p>
        </w:tc>
      </w:tr>
      <w:tr w:rsidR="00844616" w14:paraId="790A0000" w14:textId="77777777">
        <w:tc>
          <w:tcPr>
            <w:tcW w:w="2160" w:type="dxa"/>
          </w:tcPr>
          <w:p w14:paraId="380C51ED" w14:textId="127B167F" w:rsidR="00844616" w:rsidRDefault="003D2D60">
            <w:r>
              <w:rPr>
                <w:noProof/>
              </w:rPr>
              <w:drawing>
                <wp:inline distT="0" distB="0" distL="0" distR="0" wp14:anchorId="171ACFA5" wp14:editId="7A9CA7AF">
                  <wp:extent cx="1466667" cy="1352381"/>
                  <wp:effectExtent l="0" t="0" r="635" b="635"/>
                  <wp:docPr id="150650004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50004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667" cy="1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4BAFB85B" w14:textId="77777777" w:rsidR="00844616" w:rsidRDefault="00000000">
            <w:r>
              <w:t>Akutt giftig</w:t>
            </w:r>
          </w:p>
        </w:tc>
        <w:tc>
          <w:tcPr>
            <w:tcW w:w="2160" w:type="dxa"/>
          </w:tcPr>
          <w:p w14:paraId="2F404AEF" w14:textId="77777777" w:rsidR="00844616" w:rsidRDefault="00000000">
            <w:r>
              <w:t>Giftig ved innånding, hudkontakt eller svelging.</w:t>
            </w:r>
          </w:p>
        </w:tc>
        <w:tc>
          <w:tcPr>
            <w:tcW w:w="2160" w:type="dxa"/>
          </w:tcPr>
          <w:p w14:paraId="50877E6D" w14:textId="77777777" w:rsidR="00844616" w:rsidRDefault="00000000">
            <w:r>
              <w:t>Sterke lim, enkelte løsemidler</w:t>
            </w:r>
          </w:p>
        </w:tc>
      </w:tr>
      <w:tr w:rsidR="00844616" w14:paraId="619197B4" w14:textId="77777777">
        <w:tc>
          <w:tcPr>
            <w:tcW w:w="2160" w:type="dxa"/>
          </w:tcPr>
          <w:p w14:paraId="0FAEE921" w14:textId="7153092B" w:rsidR="00844616" w:rsidRDefault="00EA05FE">
            <w:r w:rsidRPr="00EA05FE">
              <w:drawing>
                <wp:inline distT="0" distB="0" distL="0" distR="0" wp14:anchorId="1993AAD6" wp14:editId="510DA317">
                  <wp:extent cx="1054154" cy="895396"/>
                  <wp:effectExtent l="0" t="0" r="0" b="0"/>
                  <wp:docPr id="18788282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8282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54" cy="89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44324478" w14:textId="77777777" w:rsidR="00844616" w:rsidRDefault="00000000">
            <w:r>
              <w:t>Alvorlig helsefare</w:t>
            </w:r>
          </w:p>
        </w:tc>
        <w:tc>
          <w:tcPr>
            <w:tcW w:w="2160" w:type="dxa"/>
          </w:tcPr>
          <w:p w14:paraId="5779933F" w14:textId="77777777" w:rsidR="00844616" w:rsidRDefault="00000000">
            <w:r>
              <w:t>Kan gi kreft, skade lunger, reproduksjon eller organer ved langvarig eksponering.</w:t>
            </w:r>
          </w:p>
        </w:tc>
        <w:tc>
          <w:tcPr>
            <w:tcW w:w="2160" w:type="dxa"/>
          </w:tcPr>
          <w:p w14:paraId="6E12C80D" w14:textId="77777777" w:rsidR="00844616" w:rsidRDefault="00000000">
            <w:r>
              <w:t>Løsemidler, isocyanater i lim og lakk</w:t>
            </w:r>
          </w:p>
        </w:tc>
      </w:tr>
      <w:tr w:rsidR="00844616" w14:paraId="6FD7316F" w14:textId="77777777">
        <w:tc>
          <w:tcPr>
            <w:tcW w:w="2160" w:type="dxa"/>
          </w:tcPr>
          <w:p w14:paraId="2975AD55" w14:textId="6DB6D674" w:rsidR="00844616" w:rsidRDefault="00220DD8">
            <w:r w:rsidRPr="00220DD8">
              <w:lastRenderedPageBreak/>
              <w:drawing>
                <wp:inline distT="0" distB="0" distL="0" distR="0" wp14:anchorId="1A4E24C4" wp14:editId="42E53A29">
                  <wp:extent cx="971600" cy="825542"/>
                  <wp:effectExtent l="0" t="0" r="0" b="0"/>
                  <wp:docPr id="110253129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53129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00" cy="825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228760A9" w14:textId="77777777" w:rsidR="00844616" w:rsidRDefault="00000000">
            <w:r>
              <w:t>Miljøskadelig</w:t>
            </w:r>
          </w:p>
        </w:tc>
        <w:tc>
          <w:tcPr>
            <w:tcW w:w="2160" w:type="dxa"/>
          </w:tcPr>
          <w:p w14:paraId="3E93F183" w14:textId="77777777" w:rsidR="00844616" w:rsidRDefault="00000000">
            <w:r>
              <w:t>Skadelig for vannmiljø og natur.</w:t>
            </w:r>
          </w:p>
        </w:tc>
        <w:tc>
          <w:tcPr>
            <w:tcW w:w="2160" w:type="dxa"/>
          </w:tcPr>
          <w:p w14:paraId="4CA4F852" w14:textId="77777777" w:rsidR="00844616" w:rsidRDefault="00000000">
            <w:r>
              <w:t>Rester av maling, lakk, lim</w:t>
            </w:r>
          </w:p>
        </w:tc>
      </w:tr>
      <w:tr w:rsidR="00844616" w14:paraId="701B7A2F" w14:textId="77777777">
        <w:tc>
          <w:tcPr>
            <w:tcW w:w="2160" w:type="dxa"/>
          </w:tcPr>
          <w:p w14:paraId="2D9072C0" w14:textId="0FF65084" w:rsidR="00844616" w:rsidRDefault="00FE653A">
            <w:r w:rsidRPr="00FE653A">
              <w:drawing>
                <wp:inline distT="0" distB="0" distL="0" distR="0" wp14:anchorId="777B8D86" wp14:editId="59F14903">
                  <wp:extent cx="997001" cy="939848"/>
                  <wp:effectExtent l="0" t="0" r="0" b="0"/>
                  <wp:docPr id="52658751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58751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001" cy="93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198EFA4E" w14:textId="77777777" w:rsidR="00844616" w:rsidRDefault="00000000">
            <w:r>
              <w:t>Etsende</w:t>
            </w:r>
          </w:p>
        </w:tc>
        <w:tc>
          <w:tcPr>
            <w:tcW w:w="2160" w:type="dxa"/>
          </w:tcPr>
          <w:p w14:paraId="1D2551EA" w14:textId="77777777" w:rsidR="00844616" w:rsidRDefault="00000000">
            <w:r>
              <w:t>Skader hud, øyne og materialer.</w:t>
            </w:r>
          </w:p>
        </w:tc>
        <w:tc>
          <w:tcPr>
            <w:tcW w:w="2160" w:type="dxa"/>
          </w:tcPr>
          <w:p w14:paraId="3BC42DBD" w14:textId="77777777" w:rsidR="00844616" w:rsidRDefault="00000000">
            <w:r>
              <w:t>Sterke rengjøringsmidler, syrer, baser</w:t>
            </w:r>
          </w:p>
        </w:tc>
      </w:tr>
      <w:tr w:rsidR="00844616" w14:paraId="68DB65D5" w14:textId="77777777">
        <w:tc>
          <w:tcPr>
            <w:tcW w:w="2160" w:type="dxa"/>
          </w:tcPr>
          <w:p w14:paraId="692B44B3" w14:textId="76BC23B8" w:rsidR="00844616" w:rsidRDefault="00CF3BD4">
            <w:r w:rsidRPr="00CF3BD4">
              <w:drawing>
                <wp:inline distT="0" distB="0" distL="0" distR="0" wp14:anchorId="2AB34A0C" wp14:editId="3B2C801B">
                  <wp:extent cx="939848" cy="825542"/>
                  <wp:effectExtent l="0" t="0" r="0" b="0"/>
                  <wp:docPr id="709173410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17341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48" cy="825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3BF768F6" w14:textId="77777777" w:rsidR="00844616" w:rsidRDefault="00000000">
            <w:r>
              <w:t>Gass under trykk</w:t>
            </w:r>
          </w:p>
        </w:tc>
        <w:tc>
          <w:tcPr>
            <w:tcW w:w="2160" w:type="dxa"/>
          </w:tcPr>
          <w:p w14:paraId="1D82685B" w14:textId="77777777" w:rsidR="00844616" w:rsidRDefault="00000000">
            <w:r>
              <w:t>Kan eksplodere ved oppvarming eller gi kvelningsfare.</w:t>
            </w:r>
          </w:p>
        </w:tc>
        <w:tc>
          <w:tcPr>
            <w:tcW w:w="2160" w:type="dxa"/>
          </w:tcPr>
          <w:p w14:paraId="2EEA2D5F" w14:textId="77777777" w:rsidR="00844616" w:rsidRDefault="00000000">
            <w:r>
              <w:t>Spraybokser, trykkluftbeholdere</w:t>
            </w:r>
          </w:p>
        </w:tc>
      </w:tr>
      <w:tr w:rsidR="00844616" w14:paraId="34B8F235" w14:textId="77777777">
        <w:tc>
          <w:tcPr>
            <w:tcW w:w="2160" w:type="dxa"/>
          </w:tcPr>
          <w:p w14:paraId="43DE91CB" w14:textId="36DBC09C" w:rsidR="00844616" w:rsidRDefault="00B62B60">
            <w:r w:rsidRPr="00B62B60">
              <w:drawing>
                <wp:inline distT="0" distB="0" distL="0" distR="0" wp14:anchorId="2778DE91" wp14:editId="62FF1580">
                  <wp:extent cx="1073205" cy="806491"/>
                  <wp:effectExtent l="0" t="0" r="0" b="0"/>
                  <wp:docPr id="70643727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43727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205" cy="80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4C8BE46C" w14:textId="77777777" w:rsidR="00844616" w:rsidRDefault="00000000">
            <w:r>
              <w:t>Eksplosiv</w:t>
            </w:r>
          </w:p>
        </w:tc>
        <w:tc>
          <w:tcPr>
            <w:tcW w:w="2160" w:type="dxa"/>
          </w:tcPr>
          <w:p w14:paraId="2DC6EE9C" w14:textId="77777777" w:rsidR="00844616" w:rsidRDefault="00000000">
            <w:r>
              <w:t>Kan eksplodere ved støt, gnist eller varme.</w:t>
            </w:r>
          </w:p>
        </w:tc>
        <w:tc>
          <w:tcPr>
            <w:tcW w:w="2160" w:type="dxa"/>
          </w:tcPr>
          <w:p w14:paraId="43BC9550" w14:textId="77777777" w:rsidR="00844616" w:rsidRDefault="00000000">
            <w:r>
              <w:t>Ikke vanlig i bygg, men kan forekomme i pyroteknikk og enkelte kjemikalier</w:t>
            </w:r>
          </w:p>
        </w:tc>
      </w:tr>
    </w:tbl>
    <w:p w14:paraId="3630B46B" w14:textId="77777777" w:rsidR="00CD0CB0" w:rsidRDefault="00CD0CB0"/>
    <w:sectPr w:rsidR="00CD0C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9890047">
    <w:abstractNumId w:val="8"/>
  </w:num>
  <w:num w:numId="2" w16cid:durableId="151678263">
    <w:abstractNumId w:val="6"/>
  </w:num>
  <w:num w:numId="3" w16cid:durableId="1161432746">
    <w:abstractNumId w:val="5"/>
  </w:num>
  <w:num w:numId="4" w16cid:durableId="764502474">
    <w:abstractNumId w:val="4"/>
  </w:num>
  <w:num w:numId="5" w16cid:durableId="1903322018">
    <w:abstractNumId w:val="7"/>
  </w:num>
  <w:num w:numId="6" w16cid:durableId="1673295744">
    <w:abstractNumId w:val="3"/>
  </w:num>
  <w:num w:numId="7" w16cid:durableId="31078164">
    <w:abstractNumId w:val="2"/>
  </w:num>
  <w:num w:numId="8" w16cid:durableId="1434204981">
    <w:abstractNumId w:val="1"/>
  </w:num>
  <w:num w:numId="9" w16cid:durableId="152424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DD8"/>
    <w:rsid w:val="00223233"/>
    <w:rsid w:val="0029639D"/>
    <w:rsid w:val="002B3D4F"/>
    <w:rsid w:val="002D79D2"/>
    <w:rsid w:val="00326F90"/>
    <w:rsid w:val="003D2D60"/>
    <w:rsid w:val="004B1154"/>
    <w:rsid w:val="00656E51"/>
    <w:rsid w:val="00844616"/>
    <w:rsid w:val="00A67E41"/>
    <w:rsid w:val="00AA1D8D"/>
    <w:rsid w:val="00AC6509"/>
    <w:rsid w:val="00AE27C9"/>
    <w:rsid w:val="00B47730"/>
    <w:rsid w:val="00B62B60"/>
    <w:rsid w:val="00CB0664"/>
    <w:rsid w:val="00CD0CB0"/>
    <w:rsid w:val="00CF3BD4"/>
    <w:rsid w:val="00D65F65"/>
    <w:rsid w:val="00E85938"/>
    <w:rsid w:val="00EA05FE"/>
    <w:rsid w:val="00FC693F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D3CF9"/>
  <w14:defaultImageDpi w14:val="300"/>
  <w15:docId w15:val="{B1BD83D1-94C8-4113-8DF9-95D5E1CF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Berge-Westgaard, Lisbeth</cp:lastModifiedBy>
  <cp:revision>15</cp:revision>
  <dcterms:created xsi:type="dcterms:W3CDTF">2025-09-02T11:20:00Z</dcterms:created>
  <dcterms:modified xsi:type="dcterms:W3CDTF">2025-09-04T08:57:00Z</dcterms:modified>
  <cp:category/>
</cp:coreProperties>
</file>